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4A7E2D"/>
          <w:sz w:val="20"/>
          <w:szCs w:val="20"/>
        </w:rPr>
      </w:pPr>
      <w:r>
        <w:rPr>
          <w:rFonts w:ascii="MyriadPro-It" w:hAnsi="MyriadPro-It" w:cs="MyriadPro-It"/>
          <w:i/>
          <w:iCs/>
          <w:color w:val="4A7E2D"/>
          <w:sz w:val="20"/>
          <w:szCs w:val="20"/>
        </w:rPr>
        <w:t>KRIZOVÉ STAVY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16. Mezi krizové stavy ve smyslu krizového řízení nepatří: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a) stav ohrožení státu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b) nutná obrana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c) nouzový stav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d) válečný stav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17. Po vyhlášení stavu ohrožení státu: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a) mohou být omezena některá občanská práva a svobody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b) ztrácí občané České republiky volební právo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c) přestává platit Listina základních práv a svobod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d) přestává platit Ústava České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18. Válečný stav může být vyhlášen v případě: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a) povodní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b) rozsáhlého požáru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c) napadení České republiky</w:t>
      </w:r>
    </w:p>
    <w:p w:rsidR="002B6331" w:rsidRDefault="002B6331" w:rsidP="002B6331">
      <w:pPr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d) při ozbrojené vzpouře vězňů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19. O vyhlášení stavu ohrožení státu nebo válečného stavu se občan dozví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prostřednictvím televize, rozhlasu a tisku: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ano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ne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20. O vyhlášení válečného stavu rozhoduje: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prezident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vláda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Parlament České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Ministerstvo obrany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21. Pro území celého státu nelze vyhlásit: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válečný stav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nouzový stav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stav nebezpečí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stav ohrožení státu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22. Omezení základních práv a svobod při vyhlášení krizového stavu musí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vláda zveřejnit: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pokud možno ještě před vyhlášením krizového stavu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současně s vyhlášením krizového stavu</w:t>
      </w:r>
    </w:p>
    <w:p w:rsidR="002B6331" w:rsidRDefault="002B6331" w:rsidP="002B6331">
      <w:pPr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do 24 hodin po vyhlášení krizového stavu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23. Stav ohrožení státu lze vyhlásit: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a) pouze na dobu 30 dnů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b) na období delší než 30 dnů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c) na období nejvýše 2 měsíců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d) na neomezenou dobu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4A7E2D"/>
          <w:sz w:val="20"/>
          <w:szCs w:val="20"/>
        </w:rPr>
      </w:pPr>
      <w:r>
        <w:rPr>
          <w:rFonts w:ascii="MyriadPro-It" w:hAnsi="MyriadPro-It" w:cs="MyriadPro-It"/>
          <w:i/>
          <w:iCs/>
          <w:color w:val="4A7E2D"/>
          <w:sz w:val="20"/>
          <w:szCs w:val="20"/>
        </w:rPr>
        <w:t>BEZPEČNOSTNÍ SYSTÉM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24. Do bezpečnostního systému České republiky nepatří: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a) vláda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b) Ministerstvo obrany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c) orgány Evropské unie</w:t>
      </w:r>
    </w:p>
    <w:p w:rsidR="002B6331" w:rsidRDefault="002B6331" w:rsidP="002B6331">
      <w:pPr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d) prezident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25. Za zajišťování obrany České republiky nese odpovědnost: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vláda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prezident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Ministerstvo obrany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obecní a krajské úřady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26. Základním úkolem ozbrojených sil České republiky je: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obrana České republiky a spojeneckých zemí před vnějším napadením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zvyšování povědomosti občanů České republiky o Severoatlantické alianci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pomoc při odstraňování následků živelních katastrof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provádění branné výchovy obyvatelstva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27. Do ozbrojených sil nepatří: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lastRenderedPageBreak/>
        <w:t>a) Armáda České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Hradní stráž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Vojenská kancelář prezidenta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Policie České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28. Vrchním velitelem ozbrojených sil České republiky je: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prezident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předseda vlády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ministr obrany</w:t>
      </w:r>
    </w:p>
    <w:p w:rsidR="002B6331" w:rsidRDefault="002B6331" w:rsidP="002B6331">
      <w:pPr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d) náčelník Generálního štábu Armády České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29. Bezpečnostní rada státu je pracovním orgánem: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a) prezidenta republiky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b) vlády</w:t>
      </w:r>
    </w:p>
    <w:p w:rsidR="002B6331" w:rsidRDefault="002B6331" w:rsidP="002B633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c) předsedy Poslanecké sněmovny Parlamentu České republiky</w:t>
      </w:r>
    </w:p>
    <w:p w:rsidR="002B6331" w:rsidRDefault="002B6331" w:rsidP="002B6331">
      <w:r>
        <w:rPr>
          <w:rFonts w:ascii="MyriadPro-Regular" w:hAnsi="MyriadPro-Regular" w:cs="MyriadPro-Regular"/>
          <w:sz w:val="19"/>
          <w:szCs w:val="19"/>
        </w:rPr>
        <w:t>d) ministra obrany</w:t>
      </w:r>
    </w:p>
    <w:sectPr w:rsidR="002B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31"/>
    <w:rsid w:val="002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908C"/>
  <w15:chartTrackingRefBased/>
  <w15:docId w15:val="{3992B119-9722-47AE-AEC2-55A2E0A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Zeithaml</dc:creator>
  <cp:keywords/>
  <dc:description/>
  <cp:lastModifiedBy>Josef Zeithaml</cp:lastModifiedBy>
  <cp:revision>1</cp:revision>
  <dcterms:created xsi:type="dcterms:W3CDTF">2020-05-13T16:35:00Z</dcterms:created>
  <dcterms:modified xsi:type="dcterms:W3CDTF">2020-05-13T16:37:00Z</dcterms:modified>
</cp:coreProperties>
</file>